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41" w:rsidRPr="006D5341" w:rsidRDefault="006D5341" w:rsidP="006D5341">
      <w:pPr>
        <w:spacing w:after="75" w:line="2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6D534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Рассчитать стоимость патента</w:t>
      </w:r>
    </w:p>
    <w:p w:rsidR="006D5341" w:rsidRPr="006D5341" w:rsidRDefault="006D5341" w:rsidP="006D5341">
      <w:pPr>
        <w:spacing w:after="0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6D5341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br/>
        <w:t>Как рассчитать стоимость патента для ИП?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Стоимость патента рассчитывается по стандартному принципу и составляет 6% от налоговой базы каждого вида деятельности вне зависимости </w:t>
      </w:r>
      <w:proofErr w:type="gram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размера</w:t>
      </w:r>
      <w:proofErr w:type="gram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фактически полученного индивидуальным предпринимателем дохода.</w:t>
      </w:r>
    </w:p>
    <w:p w:rsidR="006D5341" w:rsidRPr="006D5341" w:rsidRDefault="006D5341" w:rsidP="006D5341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Рассчитать </w:t>
      </w: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патента в зависимости от территории, на которой работает предприниматель, можно на федеральном портале налоговой службы </w:t>
      </w:r>
      <w:hyperlink r:id="rId4" w:history="1">
        <w:r w:rsidRPr="006D5341">
          <w:rPr>
            <w:rFonts w:ascii="Arial" w:eastAsia="Times New Roman" w:hAnsi="Arial" w:cs="Arial"/>
            <w:color w:val="355BA8"/>
            <w:sz w:val="24"/>
            <w:szCs w:val="24"/>
            <w:bdr w:val="none" w:sz="0" w:space="0" w:color="auto" w:frame="1"/>
            <w:lang w:eastAsia="ru-RU"/>
          </w:rPr>
          <w:t>patent.nalog.ru</w:t>
        </w:r>
      </w:hyperlink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 </w:t>
      </w: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видам предпринимательской деятельности, в отношении которых применяется патентная система налогообложения на территории Ленинградской области, предоставлена возможность применения понижающего коэффициента по следующим группам муниципальных образований: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коэффициентом дифференциации в значении 1 для Всеволожского, Выборгского, Гатчинского муниципальных районов;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коэффициентом дифференциации в значении 0,9 для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Волховского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Кировского,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Тосненского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районов;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коэффициентом дифференциации в значении 0,8 для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Бокситогорского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Волосовского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Кингисеппского,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Киришского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Ломоносовского,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Лужского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Приозерского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Сланцевского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Тихвинского муниципальных районов и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Сосновоборского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округа;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коэффициентом дифференциации в значении 0,7 для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Подпорожского</w:t>
      </w:r>
      <w:proofErr w:type="spellEnd"/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районов.</w:t>
      </w:r>
    </w:p>
    <w:p w:rsidR="006D5341" w:rsidRPr="006D5341" w:rsidRDefault="006D5341" w:rsidP="006D5341">
      <w:pPr>
        <w:spacing w:after="75" w:line="24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bookmarkStart w:id="0" w:name="_GoBack"/>
      <w:bookmarkEnd w:id="0"/>
      <w:r w:rsidRPr="006D5341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br/>
        <w:t>Когда выгодно переходить на ПСН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вышеперечисленные характеристики патентной систем налогообложения, можно сделать вывод: переходить на ПСН выгодно особенно в том случае, если Вы уверены, что Ваш реальный доход превысит установленный потенциальный доход. Если Вы владеете малым бизнесом, и Ваша деятельность заключается в предоставлении услуг, то переход на ПСН станет правильным решением.</w:t>
      </w:r>
    </w:p>
    <w:p w:rsidR="006D5341" w:rsidRPr="006D5341" w:rsidRDefault="006D5341" w:rsidP="006D5341">
      <w:pPr>
        <w:spacing w:after="150" w:line="31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53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любом случае необходимо предварительно проанализировать бизнес и оценить предполагаемые доходы. Вначале можно оформить патент на небольшой срок, в первое время лучше ограничиться одним или двумя месяцами. Ведь правильный выбор системы налогообложения позволит Вам избежать лишних финансовых затрат и упростить систему ведения учета.</w:t>
      </w:r>
    </w:p>
    <w:p w:rsidR="00607E58" w:rsidRDefault="00607E58" w:rsidP="006D5341">
      <w:pPr>
        <w:jc w:val="both"/>
      </w:pPr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304"/>
    <w:rsid w:val="00607E58"/>
    <w:rsid w:val="006D5341"/>
    <w:rsid w:val="00CA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B129-FA17-46D3-A528-D77AA30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paragraph" w:styleId="2">
    <w:name w:val="heading 2"/>
    <w:basedOn w:val="a"/>
    <w:link w:val="20"/>
    <w:uiPriority w:val="9"/>
    <w:qFormat/>
    <w:rsid w:val="006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D5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5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5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5341"/>
    <w:rPr>
      <w:b/>
      <w:bCs/>
    </w:rPr>
  </w:style>
  <w:style w:type="paragraph" w:styleId="a4">
    <w:name w:val="Normal (Web)"/>
    <w:basedOn w:val="a"/>
    <w:uiPriority w:val="99"/>
    <w:semiHidden/>
    <w:unhideWhenUsed/>
    <w:rsid w:val="006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5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tent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2019-01-15T06:42:00Z</dcterms:created>
  <dcterms:modified xsi:type="dcterms:W3CDTF">2019-01-15T06:42:00Z</dcterms:modified>
</cp:coreProperties>
</file>